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EB" w:rsidRDefault="002864EB" w:rsidP="00A47491">
      <w:pPr>
        <w:spacing w:after="0"/>
        <w:rPr>
          <w:szCs w:val="24"/>
        </w:rPr>
      </w:pPr>
    </w:p>
    <w:p w:rsidR="00A47491" w:rsidRPr="00A47491" w:rsidRDefault="00A47491" w:rsidP="00A47491">
      <w:pPr>
        <w:spacing w:after="0"/>
        <w:rPr>
          <w:szCs w:val="24"/>
        </w:rPr>
      </w:pPr>
    </w:p>
    <w:p w:rsidR="00655597" w:rsidRDefault="00655597" w:rsidP="00655597">
      <w:pPr>
        <w:jc w:val="center"/>
      </w:pPr>
      <w:r>
        <w:rPr>
          <w:rFonts w:ascii="Arial" w:hAnsi="Arial" w:cs="Arial"/>
          <w:b/>
          <w:sz w:val="36"/>
          <w:szCs w:val="36"/>
        </w:rPr>
        <w:t>Политика по санкционному комплаенсу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РМ Рейл</w:t>
      </w:r>
    </w:p>
    <w:p w:rsidR="00655597" w:rsidRDefault="00655597" w:rsidP="00655597">
      <w:pPr>
        <w:spacing w:before="120" w:after="120"/>
        <w:jc w:val="both"/>
      </w:pP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Компании РМ Рейл (Компания) действует с 31 октября 2022 года обновленная Политика по санкционному комплаенсу (далее – Политика), которая устанавливает организацию системы внутреннего контроля, направленную на соблюдение ограничений и запретов, связанных с применением санкционных мер со стороны других государств и надгосударственных организаций, в том числе ООН, ЕС, США и т.д.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Политика направлена на обеспечение функционирования и развития системы санкционного комплаенса Компании.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Политика соответствует международным правовым нормам, законодательству Российской Федерации и документам Компании.</w:t>
      </w:r>
    </w:p>
    <w:p w:rsidR="00655597" w:rsidRDefault="00655597" w:rsidP="00655597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Целями санкционного комплаенса являются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соответствия деятельности Компании требованиям, обусловленным применением санкций.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Установление единых правил и требований к формированию у сотрудников и руководителей структурных подразделений Компании единого понимания и внутреннего отношения к соблюдению требований Политики.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Профилактика нарушения требований Политики в деятельности Компании.</w:t>
      </w:r>
    </w:p>
    <w:p w:rsidR="00655597" w:rsidRDefault="00655597" w:rsidP="00655597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Задачами санкционного комплаенса являются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Выявление рисков и инцидентов нарушения требований, обусловленных применением санкций.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соответствием деятельности Компании требованиям, обусловленным применением санкций.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Предупреждение рисков для Компании, связанных с применением санкций. </w:t>
      </w:r>
    </w:p>
    <w:p w:rsidR="00655597" w:rsidRDefault="00655597" w:rsidP="00655597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Санкционный комплаенс основан на соблюдении следующих принципов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Заинтересованность всех сотрудников Компании в эффективности функционирования санкционного комплаенса.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Регулярность оценки рисков нарушения требований, обусловленных применением санкций.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Совершенствование внутреннего контроля соблюдения требований, обусловленных применением санкций.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Безусловность и неукоснительность соблюдения всеми работниками Компании, вне зависимости от занимаемой ими должности, срока работы, статуса и иных взаимоотношений с Компанией требований, обусловленных применением санкций, внутренних нормативных и распорядительных документов в области санкционного комплаенса, включая Политику.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Открытость Компании для сотрудничества с уполномоченными органами других государств, в том числе с </w:t>
      </w:r>
      <w:proofErr w:type="spellStart"/>
      <w:r>
        <w:rPr>
          <w:rFonts w:ascii="Arial" w:hAnsi="Arial" w:cs="Arial"/>
        </w:rPr>
        <w:t>Office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Foreign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</w:t>
      </w:r>
      <w:proofErr w:type="spellEnd"/>
      <w:r>
        <w:rPr>
          <w:rFonts w:ascii="Arial" w:hAnsi="Arial" w:cs="Arial"/>
        </w:rPr>
        <w:t xml:space="preserve"> (далее – OFAC) по всем вопросам, связанным с соблюдением требований, обусловленных применением санкций.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Организация системы санкционного комплаенса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заключении сделок с контрагентами Компания реализует и обеспечивает проверку контрагентов, а также контролирующих их физических и юридических лиц, через специальные сервисы на предмет их наличия в списках лиц, попавших под действие санкций.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Компания реализует и обеспечивает постоянный мониторинг изменений санкций, на предмет наличия в санкционных списках действующих партнеров Компании.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Компания ограничивает взаимодействие с лицами, сотрудничество с которыми подпадает под ограничения, связанные с применением санкций в том объеме, который определен данными ограничениями.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Компания имеет право отказать в сотрудничестве лицам, находящимися под блокирующими санкциями, лицам, нарушающим требования, обусловленные применением санкций, а также лицам, не разделяющим политику Компании в области санкционного комплаенса.</w:t>
      </w:r>
    </w:p>
    <w:p w:rsidR="00655597" w:rsidRDefault="00655597" w:rsidP="006555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совершении с любыми контрагентами значительных сделок (в смысле потенциально применимых санкций, но в любом случае при совершении сделки или совокупности сделок на сумму более 1 млн долларов США), в договоры с данными контрагентами подлежит включению санкционная оговорка.</w:t>
      </w:r>
    </w:p>
    <w:p w:rsidR="00655597" w:rsidRDefault="00655597" w:rsidP="00655597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Санкционные риски</w:t>
      </w:r>
    </w:p>
    <w:p w:rsidR="00655597" w:rsidRDefault="00655597" w:rsidP="0065559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Нарушение режима санкций влечет ответственность, в том числе в виде штрафов, уголовной ответственности для должностных лиц или наложения санкций на Компанию и включения в списки санкционных лиц.</w:t>
      </w:r>
    </w:p>
    <w:p w:rsidR="00655597" w:rsidRDefault="00655597" w:rsidP="0065559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Компания в своей деятельности классифицирует санкционные ограничения по следующим типам: 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 xml:space="preserve">блокирующие санкции (в отношении SDN и лиц, находящихся под контролем SDN), запрещающие взаимодействие; 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>секторальные санкции, ограничивающие определенные операции (например, предоставление долга или инвестиции в определенный сектор экономики);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lastRenderedPageBreak/>
        <w:t>эмбарго запрещает ведение бизнеса на определенной территории или с резидентами данной территории;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>не имеющие четких ограничений, но требующие тщательного исследования деятельности и предмета сделок (списки лиц, причастных к различным правонарушениям или террористической деятельности).</w:t>
      </w:r>
    </w:p>
    <w:p w:rsidR="00655597" w:rsidRDefault="00655597" w:rsidP="00655597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Компания идентифицирует санкционный риск по следующим ключевым признакам: 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 xml:space="preserve">Товар: риск поставки или покупки товара двойного назначения с его последующим использованием для военных целей, производства оружия массового поражения или террористической деятельности. 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>Страна: риск ведения деятельности в стране или регионе в нарушение действующих ограничений.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 xml:space="preserve">Контрагент: риск взаимодействия с контрагентом, в отношении которого действуют санкции. 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 xml:space="preserve">Материальность: сделки, не имеющие ограничений, но в силу своей материальности требующее подробного анализа комплаенс-рисков. </w:t>
      </w:r>
    </w:p>
    <w:p w:rsidR="00655597" w:rsidRDefault="00655597" w:rsidP="00655597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Компания учитывает в своей деятельности, что санкции отдельных юрисдикций (к примеру, США и ЕС) вводят ограничения не только в отношении лица, непосредственно включенного в список, но и распространяются на всех лиц, находящихся во владении, под контролем или управлением такого лица, т.е. на компании: 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 xml:space="preserve">в которых санкционное лицо владеет 50% или более акций/долей; 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 xml:space="preserve">которыми санкционное лицо управляет или которые контролирует; </w:t>
      </w:r>
    </w:p>
    <w:p w:rsidR="00655597" w:rsidRDefault="00655597" w:rsidP="00655597">
      <w:pPr>
        <w:shd w:val="clear" w:color="auto" w:fill="FFFFFF"/>
        <w:spacing w:after="120"/>
        <w:ind w:left="1572"/>
        <w:jc w:val="both"/>
        <w:textAlignment w:val="baseline"/>
        <w:rPr>
          <w:rFonts w:ascii="Arial" w:hAnsi="Arial" w:cs="Arial"/>
          <w:spacing w:val="2"/>
          <w:szCs w:val="21"/>
        </w:rPr>
      </w:pPr>
      <w:r>
        <w:rPr>
          <w:rFonts w:ascii="Arial" w:hAnsi="Arial" w:cs="Arial"/>
        </w:rPr>
        <w:t>которые действуют в интересах санкционного лица.</w:t>
      </w:r>
    </w:p>
    <w:p w:rsidR="00655597" w:rsidRDefault="00655597" w:rsidP="00655597">
      <w:pPr>
        <w:spacing w:before="24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Отказ от ответственности</w:t>
      </w:r>
    </w:p>
    <w:p w:rsidR="00655597" w:rsidRDefault="00655597" w:rsidP="00655597">
      <w:p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Компания не несет ответственности за действия любых аффилированных лиц, нарушивших Политику. Нарушение Политики аффилированным лицом Компании не может являться свидетельством нарушения Политики со стороны других лиц Компании, как в совокупности, так и в отдельности.</w:t>
      </w:r>
    </w:p>
    <w:p w:rsidR="00655597" w:rsidRDefault="00655597" w:rsidP="00655597">
      <w:p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Компания не несет ответственности за прекращение переговоров (срыв переговоров), </w:t>
      </w:r>
      <w:proofErr w:type="spellStart"/>
      <w:r>
        <w:rPr>
          <w:rFonts w:ascii="Arial" w:hAnsi="Arial" w:cs="Arial"/>
        </w:rPr>
        <w:t>незаключение</w:t>
      </w:r>
      <w:proofErr w:type="spellEnd"/>
      <w:r>
        <w:rPr>
          <w:rFonts w:ascii="Arial" w:hAnsi="Arial" w:cs="Arial"/>
        </w:rPr>
        <w:t xml:space="preserve"> договоров, расторжение или прекращение договоров/соглашений/контрактов по причине действий противоположной стороны, противоречащих Политике. </w:t>
      </w:r>
    </w:p>
    <w:p w:rsidR="00655597" w:rsidRDefault="00655597" w:rsidP="00655597">
      <w:p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Вступая в переговоры и/или отношения с Компанией любое лицо соглашается с Политикой, подтверждает полное понимание положений Политики и обязуется выполнять все ее требования.</w:t>
      </w:r>
    </w:p>
    <w:p w:rsidR="00443CA8" w:rsidRPr="00655597" w:rsidRDefault="00655597" w:rsidP="00655597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Компания не несет ответственности за не ознакомление с Политикой, поскольку ее размещение в открытом доступе на сайте Компании позволяет любому лицу ознакомиться с ее условиями и принять все необходимые меры по недопущению негативных последствий. При этом риск негативных последствий, контрагент Компании принимает на себ</w:t>
      </w:r>
      <w:r>
        <w:rPr>
          <w:rFonts w:ascii="Arial" w:hAnsi="Arial" w:cs="Arial"/>
        </w:rPr>
        <w:t xml:space="preserve">я. </w:t>
      </w:r>
      <w:bookmarkStart w:id="0" w:name="_GoBack"/>
      <w:bookmarkEnd w:id="0"/>
    </w:p>
    <w:sectPr w:rsidR="00443CA8" w:rsidRPr="00655597" w:rsidSect="000535C3">
      <w:headerReference w:type="first" r:id="rId7"/>
      <w:pgSz w:w="11906" w:h="16838"/>
      <w:pgMar w:top="851" w:right="567" w:bottom="709" w:left="1418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2C" w:rsidRDefault="00B8112C" w:rsidP="00C60710">
      <w:pPr>
        <w:spacing w:after="0" w:line="240" w:lineRule="auto"/>
      </w:pPr>
      <w:r>
        <w:separator/>
      </w:r>
    </w:p>
  </w:endnote>
  <w:endnote w:type="continuationSeparator" w:id="0">
    <w:p w:rsidR="00B8112C" w:rsidRDefault="00B8112C" w:rsidP="00C6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2C" w:rsidRDefault="00B8112C" w:rsidP="00C60710">
      <w:pPr>
        <w:spacing w:after="0" w:line="240" w:lineRule="auto"/>
      </w:pPr>
      <w:r>
        <w:separator/>
      </w:r>
    </w:p>
  </w:footnote>
  <w:footnote w:type="continuationSeparator" w:id="0">
    <w:p w:rsidR="00B8112C" w:rsidRDefault="00B8112C" w:rsidP="00C6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93" w:rsidRDefault="005964BA">
    <w:pPr>
      <w:pStyle w:val="ae"/>
    </w:pPr>
    <w:r w:rsidRPr="005964BA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-257843</wp:posOffset>
          </wp:positionV>
          <wp:extent cx="7641377" cy="1452779"/>
          <wp:effectExtent l="0" t="0" r="0" b="0"/>
          <wp:wrapSquare wrapText="bothSides"/>
          <wp:docPr id="2" name="Рисунок 2" descr="D:\MokrousovaSV\Desktop\РМ Рейл_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krousovaSV\Desktop\РМ Рейл_ру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377" cy="145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D2"/>
    <w:rsid w:val="00007286"/>
    <w:rsid w:val="00037BFF"/>
    <w:rsid w:val="00050BA0"/>
    <w:rsid w:val="000535C3"/>
    <w:rsid w:val="000555C1"/>
    <w:rsid w:val="00057516"/>
    <w:rsid w:val="0006386C"/>
    <w:rsid w:val="00066C02"/>
    <w:rsid w:val="00086D40"/>
    <w:rsid w:val="00096827"/>
    <w:rsid w:val="000D04E9"/>
    <w:rsid w:val="000D15D2"/>
    <w:rsid w:val="00153124"/>
    <w:rsid w:val="001967E9"/>
    <w:rsid w:val="001B6E21"/>
    <w:rsid w:val="001F61E6"/>
    <w:rsid w:val="00211EED"/>
    <w:rsid w:val="00225578"/>
    <w:rsid w:val="00225C81"/>
    <w:rsid w:val="00231ACD"/>
    <w:rsid w:val="002353F8"/>
    <w:rsid w:val="0024254E"/>
    <w:rsid w:val="00243099"/>
    <w:rsid w:val="002864EB"/>
    <w:rsid w:val="00287C87"/>
    <w:rsid w:val="002B43E7"/>
    <w:rsid w:val="002C0509"/>
    <w:rsid w:val="002D3E95"/>
    <w:rsid w:val="002E3314"/>
    <w:rsid w:val="003041A1"/>
    <w:rsid w:val="003069AB"/>
    <w:rsid w:val="00313437"/>
    <w:rsid w:val="00313D43"/>
    <w:rsid w:val="00341901"/>
    <w:rsid w:val="00353752"/>
    <w:rsid w:val="0036010D"/>
    <w:rsid w:val="00363D9F"/>
    <w:rsid w:val="00392D85"/>
    <w:rsid w:val="003B2847"/>
    <w:rsid w:val="003B6D4D"/>
    <w:rsid w:val="003E4C63"/>
    <w:rsid w:val="0040711C"/>
    <w:rsid w:val="00443CA8"/>
    <w:rsid w:val="00461FDC"/>
    <w:rsid w:val="00462518"/>
    <w:rsid w:val="00466A93"/>
    <w:rsid w:val="004C0912"/>
    <w:rsid w:val="005303DC"/>
    <w:rsid w:val="00534ACA"/>
    <w:rsid w:val="00576916"/>
    <w:rsid w:val="005964BA"/>
    <w:rsid w:val="005A780B"/>
    <w:rsid w:val="006102A5"/>
    <w:rsid w:val="00617EB2"/>
    <w:rsid w:val="006211DF"/>
    <w:rsid w:val="00631120"/>
    <w:rsid w:val="0063135A"/>
    <w:rsid w:val="00635790"/>
    <w:rsid w:val="00655597"/>
    <w:rsid w:val="00661E5F"/>
    <w:rsid w:val="00686326"/>
    <w:rsid w:val="006B478A"/>
    <w:rsid w:val="006C4C7E"/>
    <w:rsid w:val="00741E2B"/>
    <w:rsid w:val="00782548"/>
    <w:rsid w:val="00783263"/>
    <w:rsid w:val="00783BB6"/>
    <w:rsid w:val="007B15B4"/>
    <w:rsid w:val="007D3FE4"/>
    <w:rsid w:val="007D6AE3"/>
    <w:rsid w:val="007E36FE"/>
    <w:rsid w:val="00830AEC"/>
    <w:rsid w:val="0086575C"/>
    <w:rsid w:val="008A71EF"/>
    <w:rsid w:val="008D6713"/>
    <w:rsid w:val="008F7381"/>
    <w:rsid w:val="00932662"/>
    <w:rsid w:val="009420FE"/>
    <w:rsid w:val="00973043"/>
    <w:rsid w:val="00994EC3"/>
    <w:rsid w:val="00995688"/>
    <w:rsid w:val="009E22A8"/>
    <w:rsid w:val="009F4B8B"/>
    <w:rsid w:val="00A4463D"/>
    <w:rsid w:val="00A47491"/>
    <w:rsid w:val="00A75A2B"/>
    <w:rsid w:val="00AA3DB4"/>
    <w:rsid w:val="00AA7673"/>
    <w:rsid w:val="00AC14D0"/>
    <w:rsid w:val="00AC3CFA"/>
    <w:rsid w:val="00AF5F26"/>
    <w:rsid w:val="00B20306"/>
    <w:rsid w:val="00B43E1F"/>
    <w:rsid w:val="00B54664"/>
    <w:rsid w:val="00B8112C"/>
    <w:rsid w:val="00BD0CCD"/>
    <w:rsid w:val="00BF4AC3"/>
    <w:rsid w:val="00C23602"/>
    <w:rsid w:val="00C44244"/>
    <w:rsid w:val="00C53CB0"/>
    <w:rsid w:val="00C60710"/>
    <w:rsid w:val="00C70943"/>
    <w:rsid w:val="00C75D27"/>
    <w:rsid w:val="00CA5B5D"/>
    <w:rsid w:val="00D04752"/>
    <w:rsid w:val="00D45AE7"/>
    <w:rsid w:val="00DA2BDC"/>
    <w:rsid w:val="00DA7EDB"/>
    <w:rsid w:val="00DD0CE1"/>
    <w:rsid w:val="00DE07FE"/>
    <w:rsid w:val="00DE14D0"/>
    <w:rsid w:val="00DF0E37"/>
    <w:rsid w:val="00DF669E"/>
    <w:rsid w:val="00E00C4F"/>
    <w:rsid w:val="00E13B23"/>
    <w:rsid w:val="00E306A7"/>
    <w:rsid w:val="00E362FA"/>
    <w:rsid w:val="00E37565"/>
    <w:rsid w:val="00E43CC4"/>
    <w:rsid w:val="00E87EE2"/>
    <w:rsid w:val="00EE7338"/>
    <w:rsid w:val="00EF58AE"/>
    <w:rsid w:val="00F42283"/>
    <w:rsid w:val="00F52970"/>
    <w:rsid w:val="00F82FC3"/>
    <w:rsid w:val="00F850B9"/>
    <w:rsid w:val="00F87734"/>
    <w:rsid w:val="00FA7E35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7F1F"/>
  <w15:docId w15:val="{2525A795-5F7D-415B-B7B8-C16716B6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043"/>
    <w:pPr>
      <w:spacing w:after="160" w:line="288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7304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Cs/>
      <w:color w:val="3D3D3D" w:themeColor="text1" w:themeTint="E6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75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color w:val="3D3D3D" w:themeColor="text1" w:themeTint="E6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37"/>
    <w:pPr>
      <w:ind w:left="720"/>
      <w:contextualSpacing/>
    </w:pPr>
  </w:style>
  <w:style w:type="paragraph" w:styleId="a4">
    <w:name w:val="No Spacing"/>
    <w:link w:val="a5"/>
    <w:uiPriority w:val="1"/>
    <w:qFormat/>
    <w:rsid w:val="00973043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73043"/>
    <w:rPr>
      <w:rFonts w:asciiTheme="majorHAnsi" w:eastAsiaTheme="majorEastAsia" w:hAnsiTheme="majorHAnsi" w:cstheme="majorBidi"/>
      <w:bCs/>
      <w:color w:val="3D3D3D" w:themeColor="text1" w:themeTint="E6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752"/>
    <w:rPr>
      <w:rFonts w:asciiTheme="majorHAnsi" w:eastAsiaTheme="majorEastAsia" w:hAnsiTheme="majorHAnsi" w:cstheme="majorBidi"/>
      <w:bCs/>
      <w:color w:val="3D3D3D" w:themeColor="text1" w:themeTint="E6"/>
      <w:sz w:val="32"/>
      <w:szCs w:val="26"/>
    </w:rPr>
  </w:style>
  <w:style w:type="paragraph" w:styleId="a6">
    <w:name w:val="Title"/>
    <w:basedOn w:val="a"/>
    <w:next w:val="a"/>
    <w:link w:val="a7"/>
    <w:uiPriority w:val="10"/>
    <w:qFormat/>
    <w:rsid w:val="00353752"/>
    <w:pPr>
      <w:pBdr>
        <w:bottom w:val="single" w:sz="8" w:space="4" w:color="D728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11E25" w:themeColor="accent1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53752"/>
    <w:rPr>
      <w:rFonts w:asciiTheme="majorHAnsi" w:eastAsiaTheme="majorEastAsia" w:hAnsiTheme="majorHAnsi" w:cstheme="majorBidi"/>
      <w:color w:val="A11E25" w:themeColor="accent1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53752"/>
    <w:pPr>
      <w:numPr>
        <w:ilvl w:val="1"/>
      </w:numPr>
    </w:pPr>
    <w:rPr>
      <w:rFonts w:asciiTheme="majorHAnsi" w:eastAsiaTheme="majorEastAsia" w:hAnsiTheme="majorHAnsi" w:cstheme="majorBidi"/>
      <w:iCs/>
      <w:color w:val="747474" w:themeColor="background2" w:themeShade="80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53752"/>
    <w:rPr>
      <w:rFonts w:asciiTheme="majorHAnsi" w:eastAsiaTheme="majorEastAsia" w:hAnsiTheme="majorHAnsi" w:cstheme="majorBidi"/>
      <w:iCs/>
      <w:color w:val="747474" w:themeColor="background2" w:themeShade="80"/>
      <w:sz w:val="28"/>
      <w:szCs w:val="24"/>
    </w:rPr>
  </w:style>
  <w:style w:type="character" w:styleId="aa">
    <w:name w:val="Intense Emphasis"/>
    <w:basedOn w:val="a0"/>
    <w:uiPriority w:val="21"/>
    <w:qFormat/>
    <w:rsid w:val="00353752"/>
    <w:rPr>
      <w:b/>
      <w:bCs/>
      <w:i/>
      <w:iCs/>
      <w:color w:val="A11E25" w:themeColor="accent1" w:themeShade="BF"/>
    </w:rPr>
  </w:style>
  <w:style w:type="table" w:styleId="ab">
    <w:name w:val="Table Grid"/>
    <w:basedOn w:val="a1"/>
    <w:uiPriority w:val="59"/>
    <w:rsid w:val="0046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FD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6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0710"/>
    <w:rPr>
      <w:sz w:val="21"/>
    </w:rPr>
  </w:style>
  <w:style w:type="paragraph" w:styleId="af0">
    <w:name w:val="footer"/>
    <w:basedOn w:val="a"/>
    <w:link w:val="af1"/>
    <w:uiPriority w:val="99"/>
    <w:unhideWhenUsed/>
    <w:rsid w:val="00C6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0710"/>
    <w:rPr>
      <w:sz w:val="21"/>
    </w:rPr>
  </w:style>
  <w:style w:type="character" w:styleId="af2">
    <w:name w:val="Hyperlink"/>
    <w:basedOn w:val="a0"/>
    <w:uiPriority w:val="99"/>
    <w:unhideWhenUsed/>
    <w:rsid w:val="00741E2B"/>
    <w:rPr>
      <w:color w:val="0066CC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A780B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A78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780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780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78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780B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5A7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RM-Rail">
      <a:dk1>
        <a:srgbClr val="282828"/>
      </a:dk1>
      <a:lt1>
        <a:sysClr val="window" lastClr="FFFFFF"/>
      </a:lt1>
      <a:dk2>
        <a:srgbClr val="376092"/>
      </a:dk2>
      <a:lt2>
        <a:srgbClr val="E9E9E9"/>
      </a:lt2>
      <a:accent1>
        <a:srgbClr val="D72832"/>
      </a:accent1>
      <a:accent2>
        <a:srgbClr val="F6C922"/>
      </a:accent2>
      <a:accent3>
        <a:srgbClr val="7AB95B"/>
      </a:accent3>
      <a:accent4>
        <a:srgbClr val="9F59AD"/>
      </a:accent4>
      <a:accent5>
        <a:srgbClr val="399AB5"/>
      </a:accent5>
      <a:accent6>
        <a:srgbClr val="F79646"/>
      </a:accent6>
      <a:hlink>
        <a:srgbClr val="0066CC"/>
      </a:hlink>
      <a:folHlink>
        <a:srgbClr val="336699"/>
      </a:folHlink>
    </a:clrScheme>
    <a:fontScheme name="RM Rail Корпоративная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23DF-DC26-464E-90B7-C93EFDC5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 РМ Рейл УК</vt:lpstr>
    </vt:vector>
  </TitlesOfParts>
  <Company>Hewlett-Packard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РМ Рейл УК</dc:title>
  <dc:creator>Сергей</dc:creator>
  <cp:lastModifiedBy>Горнова Наталья Валентиновна</cp:lastModifiedBy>
  <cp:revision>23</cp:revision>
  <cp:lastPrinted>2020-02-04T12:10:00Z</cp:lastPrinted>
  <dcterms:created xsi:type="dcterms:W3CDTF">2015-11-26T13:25:00Z</dcterms:created>
  <dcterms:modified xsi:type="dcterms:W3CDTF">2022-11-22T09:08:00Z</dcterms:modified>
</cp:coreProperties>
</file>