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:rsidR="00D36557" w:rsidRPr="0040121B" w:rsidRDefault="00A5754E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АКЦИОНЕРЫ АО «</w:t>
      </w:r>
      <w:r w:rsid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>тделение временной эксплуатации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Ташеба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sz w:val="20"/>
          <w:szCs w:val="20"/>
          <w:lang w:eastAsia="ru-RU"/>
        </w:rPr>
        <w:t xml:space="preserve">тделение временной эксплуатации 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24 июня 2021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01 июня 2021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1.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2.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комиссии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3.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аудитора для проверки финансово-хозяйственной деятельности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2021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4.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5.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6.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отчета о совершенных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в 2020 году сделках с заинтересованностью.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7.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732AE2">
        <w:rPr>
          <w:rFonts w:ascii="Times New Roman" w:hAnsi="Times New Roman"/>
          <w:sz w:val="20"/>
          <w:szCs w:val="20"/>
          <w:lang w:eastAsia="ru-RU"/>
        </w:rPr>
        <w:t>» по результатам 2020 года, в том числе о невыплате дивидендов.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  июня </w:t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2021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 и заключением ревизионной комиссии (ревизора) по результатам ее проверки; с аудиторским заключением по результатам пр</w:t>
      </w:r>
      <w:r w:rsidR="00732AE2">
        <w:rPr>
          <w:rFonts w:ascii="Times New Roman" w:eastAsia="Times New Roman" w:hAnsi="Times New Roman"/>
          <w:sz w:val="20"/>
          <w:szCs w:val="20"/>
        </w:rPr>
        <w:t>оверки годовой отчетности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с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с протоколом настоящего заседания Совета директоров и других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C04B39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Абаканвагонмаш, каб.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732AE2">
        <w:rPr>
          <w:rFonts w:ascii="Times New Roman" w:eastAsia="Times New Roman" w:hAnsi="Times New Roman"/>
          <w:sz w:val="20"/>
          <w:szCs w:val="20"/>
        </w:rPr>
        <w:t>02 июня 2021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D36557" w:rsidRPr="007060DA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7-963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954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2076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Совет директоров 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АО «</w:t>
      </w:r>
      <w:r w:rsidR="0013223B"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3223B"/>
    <w:rsid w:val="001505AD"/>
    <w:rsid w:val="00177FD0"/>
    <w:rsid w:val="00191EFE"/>
    <w:rsid w:val="001B0276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57D5E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25F84"/>
    <w:rsid w:val="00732AE2"/>
    <w:rsid w:val="00746955"/>
    <w:rsid w:val="007921B6"/>
    <w:rsid w:val="007A63D1"/>
    <w:rsid w:val="007C1FC1"/>
    <w:rsid w:val="007D51EF"/>
    <w:rsid w:val="007E10B6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54C0"/>
    <w:rsid w:val="008E7322"/>
    <w:rsid w:val="008F2546"/>
    <w:rsid w:val="0091701E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5754E"/>
    <w:rsid w:val="00A76A16"/>
    <w:rsid w:val="00A81434"/>
    <w:rsid w:val="00AD4080"/>
    <w:rsid w:val="00AD47B1"/>
    <w:rsid w:val="00AF74D4"/>
    <w:rsid w:val="00B04226"/>
    <w:rsid w:val="00B443F1"/>
    <w:rsid w:val="00B450F0"/>
    <w:rsid w:val="00B525A4"/>
    <w:rsid w:val="00B54AEB"/>
    <w:rsid w:val="00B711B5"/>
    <w:rsid w:val="00BB2BF4"/>
    <w:rsid w:val="00BC7285"/>
    <w:rsid w:val="00BE19C6"/>
    <w:rsid w:val="00BE2012"/>
    <w:rsid w:val="00BE7AB5"/>
    <w:rsid w:val="00C04B39"/>
    <w:rsid w:val="00C248EB"/>
    <w:rsid w:val="00C40C69"/>
    <w:rsid w:val="00C775CE"/>
    <w:rsid w:val="00CB5C08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72C55"/>
    <w:rsid w:val="00EB1D19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55691-EE40-454A-A7A0-723668D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1E29-0EF7-4853-85DD-723FEC3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Марьевская Екатерина Владимировна</cp:lastModifiedBy>
  <cp:revision>2</cp:revision>
  <cp:lastPrinted>2015-08-28T07:45:00Z</cp:lastPrinted>
  <dcterms:created xsi:type="dcterms:W3CDTF">2022-05-11T08:09:00Z</dcterms:created>
  <dcterms:modified xsi:type="dcterms:W3CDTF">2022-05-11T08:09:00Z</dcterms:modified>
</cp:coreProperties>
</file>